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ayout w:type="fixed"/>
        <w:tblLook w:val="04A0"/>
      </w:tblPr>
      <w:tblGrid>
        <w:gridCol w:w="1057"/>
        <w:gridCol w:w="4965"/>
        <w:gridCol w:w="4966"/>
      </w:tblGrid>
      <w:tr w:rsidR="00B029C6" w:rsidRPr="00EB44BF" w:rsidTr="0047732F">
        <w:tc>
          <w:tcPr>
            <w:tcW w:w="1057" w:type="dxa"/>
          </w:tcPr>
          <w:p w:rsidR="00B029C6" w:rsidRPr="00EB44BF" w:rsidRDefault="00B029C6">
            <w:pPr>
              <w:rPr>
                <w:rFonts w:ascii="標楷體" w:eastAsia="標楷體" w:hAnsi="標楷體"/>
                <w:sz w:val="28"/>
                <w:szCs w:val="28"/>
              </w:rPr>
            </w:pPr>
          </w:p>
        </w:tc>
        <w:tc>
          <w:tcPr>
            <w:tcW w:w="4965" w:type="dxa"/>
          </w:tcPr>
          <w:p w:rsidR="00B029C6" w:rsidRPr="0047732F" w:rsidRDefault="00B029C6" w:rsidP="0047732F">
            <w:pPr>
              <w:jc w:val="center"/>
              <w:rPr>
                <w:rFonts w:ascii="標楷體" w:eastAsia="標楷體" w:hAnsi="標楷體"/>
                <w:b/>
                <w:color w:val="E36C0A" w:themeColor="accent6" w:themeShade="BF"/>
                <w:sz w:val="28"/>
                <w:szCs w:val="28"/>
              </w:rPr>
            </w:pPr>
            <w:r w:rsidRPr="0047732F">
              <w:rPr>
                <w:rFonts w:ascii="標楷體" w:eastAsia="標楷體" w:hAnsi="標楷體" w:hint="eastAsia"/>
                <w:b/>
                <w:color w:val="E36C0A" w:themeColor="accent6" w:themeShade="BF"/>
                <w:sz w:val="28"/>
                <w:szCs w:val="28"/>
              </w:rPr>
              <w:t>台北E大</w:t>
            </w:r>
          </w:p>
        </w:tc>
        <w:tc>
          <w:tcPr>
            <w:tcW w:w="4966" w:type="dxa"/>
          </w:tcPr>
          <w:p w:rsidR="00B029C6" w:rsidRPr="0047732F" w:rsidRDefault="00B029C6" w:rsidP="0047732F">
            <w:pPr>
              <w:jc w:val="center"/>
              <w:rPr>
                <w:rFonts w:ascii="標楷體" w:eastAsia="標楷體" w:hAnsi="標楷體"/>
                <w:b/>
                <w:color w:val="E36C0A" w:themeColor="accent6" w:themeShade="BF"/>
                <w:sz w:val="28"/>
                <w:szCs w:val="28"/>
              </w:rPr>
            </w:pPr>
            <w:r w:rsidRPr="0047732F">
              <w:rPr>
                <w:rFonts w:ascii="標楷體" w:eastAsia="標楷體" w:hAnsi="標楷體" w:hint="eastAsia"/>
                <w:b/>
                <w:color w:val="E36C0A" w:themeColor="accent6" w:themeShade="BF"/>
                <w:sz w:val="28"/>
                <w:szCs w:val="28"/>
              </w:rPr>
              <w:t>港都E學院</w:t>
            </w:r>
          </w:p>
        </w:tc>
      </w:tr>
      <w:tr w:rsidR="00B029C6" w:rsidRPr="00EB44BF" w:rsidTr="0047732F">
        <w:tc>
          <w:tcPr>
            <w:tcW w:w="1057" w:type="dxa"/>
          </w:tcPr>
          <w:p w:rsidR="0047732F" w:rsidRPr="0047732F" w:rsidRDefault="00B029C6">
            <w:pPr>
              <w:rPr>
                <w:rFonts w:ascii="標楷體" w:eastAsia="標楷體" w:hAnsi="標楷體" w:hint="eastAsia"/>
                <w:szCs w:val="24"/>
              </w:rPr>
            </w:pPr>
            <w:r w:rsidRPr="0047732F">
              <w:rPr>
                <w:rFonts w:ascii="標楷體" w:eastAsia="標楷體" w:hAnsi="標楷體" w:hint="eastAsia"/>
                <w:szCs w:val="24"/>
              </w:rPr>
              <w:t>負責</w:t>
            </w:r>
          </w:p>
          <w:p w:rsidR="00B029C6" w:rsidRPr="0047732F" w:rsidRDefault="00EB44BF">
            <w:pPr>
              <w:rPr>
                <w:rFonts w:ascii="標楷體" w:eastAsia="標楷體" w:hAnsi="標楷體"/>
                <w:szCs w:val="24"/>
              </w:rPr>
            </w:pPr>
            <w:r w:rsidRPr="0047732F">
              <w:rPr>
                <w:rFonts w:ascii="標楷體" w:eastAsia="標楷體" w:hAnsi="標楷體" w:hint="eastAsia"/>
                <w:szCs w:val="24"/>
              </w:rPr>
              <w:t>單位</w:t>
            </w:r>
          </w:p>
        </w:tc>
        <w:tc>
          <w:tcPr>
            <w:tcW w:w="4965" w:type="dxa"/>
          </w:tcPr>
          <w:p w:rsidR="00B029C6" w:rsidRPr="0047732F" w:rsidRDefault="00B029C6">
            <w:pPr>
              <w:rPr>
                <w:rFonts w:ascii="標楷體" w:eastAsia="標楷體" w:hAnsi="標楷體"/>
                <w:szCs w:val="24"/>
              </w:rPr>
            </w:pPr>
            <w:r w:rsidRPr="0047732F">
              <w:rPr>
                <w:rFonts w:ascii="標楷體" w:eastAsia="標楷體" w:hAnsi="標楷體" w:cs="Arial"/>
                <w:szCs w:val="24"/>
              </w:rPr>
              <w:t>台北市政府公務人員訓練中心</w:t>
            </w:r>
          </w:p>
        </w:tc>
        <w:tc>
          <w:tcPr>
            <w:tcW w:w="4966" w:type="dxa"/>
          </w:tcPr>
          <w:tbl>
            <w:tblPr>
              <w:tblW w:w="4800" w:type="pct"/>
              <w:tblCellSpacing w:w="0" w:type="dxa"/>
              <w:tblLayout w:type="fixed"/>
              <w:tblCellMar>
                <w:left w:w="0" w:type="dxa"/>
                <w:right w:w="0" w:type="dxa"/>
              </w:tblCellMar>
              <w:tblLook w:val="04A0"/>
            </w:tblPr>
            <w:tblGrid>
              <w:gridCol w:w="4560"/>
            </w:tblGrid>
            <w:tr w:rsidR="00185323" w:rsidRPr="0047732F" w:rsidTr="0097064B">
              <w:trPr>
                <w:tblCellSpacing w:w="0" w:type="dxa"/>
              </w:trPr>
              <w:tc>
                <w:tcPr>
                  <w:tcW w:w="4560" w:type="dxa"/>
                  <w:vAlign w:val="center"/>
                  <w:hideMark/>
                </w:tcPr>
                <w:p w:rsidR="00185323" w:rsidRPr="0047732F" w:rsidRDefault="00185323" w:rsidP="00523854">
                  <w:pPr>
                    <w:widowControl/>
                    <w:spacing w:line="395" w:lineRule="atLeast"/>
                    <w:rPr>
                      <w:rFonts w:ascii="標楷體" w:eastAsia="標楷體" w:hAnsi="標楷體" w:cs="Arial"/>
                      <w:kern w:val="0"/>
                      <w:szCs w:val="24"/>
                    </w:rPr>
                  </w:pPr>
                  <w:r w:rsidRPr="0047732F">
                    <w:rPr>
                      <w:rFonts w:ascii="標楷體" w:eastAsia="標楷體" w:hAnsi="標楷體" w:cs="Arial"/>
                      <w:kern w:val="0"/>
                      <w:szCs w:val="24"/>
                    </w:rPr>
                    <w:t>高雄市政府資訊中心</w:t>
                  </w:r>
                </w:p>
              </w:tc>
            </w:tr>
            <w:tr w:rsidR="00185323" w:rsidRPr="0047732F" w:rsidTr="0097064B">
              <w:trPr>
                <w:tblCellSpacing w:w="0" w:type="dxa"/>
              </w:trPr>
              <w:tc>
                <w:tcPr>
                  <w:tcW w:w="4560" w:type="dxa"/>
                  <w:vAlign w:val="center"/>
                  <w:hideMark/>
                </w:tcPr>
                <w:p w:rsidR="00185323" w:rsidRPr="0047732F" w:rsidRDefault="00185323" w:rsidP="00185323">
                  <w:pPr>
                    <w:widowControl/>
                    <w:spacing w:line="395" w:lineRule="atLeast"/>
                    <w:rPr>
                      <w:rFonts w:ascii="標楷體" w:eastAsia="標楷體" w:hAnsi="標楷體" w:cs="Arial"/>
                      <w:kern w:val="0"/>
                      <w:szCs w:val="24"/>
                    </w:rPr>
                  </w:pPr>
                  <w:r w:rsidRPr="0047732F">
                    <w:rPr>
                      <w:rFonts w:ascii="標楷體" w:eastAsia="標楷體" w:hAnsi="標楷體" w:cs="Arial"/>
                      <w:kern w:val="0"/>
                      <w:szCs w:val="24"/>
                    </w:rPr>
                    <w:t>高雄市政府公務人力發展中</w:t>
                  </w:r>
                  <w:r w:rsidR="002E1AC2" w:rsidRPr="0047732F">
                    <w:rPr>
                      <w:rFonts w:ascii="標楷體" w:eastAsia="標楷體" w:hAnsi="標楷體" w:cs="Arial" w:hint="eastAsia"/>
                      <w:kern w:val="0"/>
                      <w:szCs w:val="24"/>
                    </w:rPr>
                    <w:t>心</w:t>
                  </w:r>
                </w:p>
              </w:tc>
            </w:tr>
          </w:tbl>
          <w:p w:rsidR="00B029C6" w:rsidRPr="0047732F" w:rsidRDefault="00B029C6">
            <w:pPr>
              <w:rPr>
                <w:rFonts w:ascii="標楷體" w:eastAsia="標楷體" w:hAnsi="標楷體"/>
                <w:szCs w:val="24"/>
              </w:rPr>
            </w:pPr>
          </w:p>
        </w:tc>
      </w:tr>
      <w:tr w:rsidR="00EB44BF" w:rsidRPr="00EB44BF" w:rsidTr="0097064B">
        <w:tc>
          <w:tcPr>
            <w:tcW w:w="1057" w:type="dxa"/>
          </w:tcPr>
          <w:p w:rsidR="00EB44BF" w:rsidRPr="0047732F" w:rsidRDefault="00EB44BF">
            <w:pPr>
              <w:rPr>
                <w:rFonts w:ascii="標楷體" w:eastAsia="標楷體" w:hAnsi="標楷體"/>
                <w:szCs w:val="24"/>
              </w:rPr>
            </w:pPr>
            <w:r w:rsidRPr="0047732F">
              <w:rPr>
                <w:rFonts w:ascii="標楷體" w:eastAsia="標楷體" w:hAnsi="標楷體" w:hint="eastAsia"/>
                <w:szCs w:val="24"/>
              </w:rPr>
              <w:t>功能</w:t>
            </w:r>
          </w:p>
        </w:tc>
        <w:tc>
          <w:tcPr>
            <w:tcW w:w="9931" w:type="dxa"/>
            <w:gridSpan w:val="2"/>
          </w:tcPr>
          <w:p w:rsidR="00EB44BF" w:rsidRPr="0047732F" w:rsidRDefault="00EB44BF" w:rsidP="0047732F">
            <w:pPr>
              <w:rPr>
                <w:rFonts w:ascii="標楷體" w:eastAsia="標楷體" w:hAnsi="標楷體"/>
                <w:szCs w:val="24"/>
              </w:rPr>
            </w:pPr>
            <w:r w:rsidRPr="0047732F">
              <w:rPr>
                <w:rFonts w:ascii="標楷體" w:eastAsia="標楷體" w:hAnsi="標楷體" w:cs="Arial"/>
                <w:szCs w:val="24"/>
              </w:rPr>
              <w:t>將各種課程搬上網站，</w:t>
            </w:r>
            <w:r w:rsidRPr="0047732F">
              <w:rPr>
                <w:rFonts w:ascii="標楷體" w:eastAsia="標楷體" w:hAnsi="標楷體" w:cs="Arial" w:hint="eastAsia"/>
                <w:szCs w:val="24"/>
              </w:rPr>
              <w:t>發展</w:t>
            </w:r>
            <w:r w:rsidRPr="0047732F">
              <w:rPr>
                <w:rFonts w:ascii="標楷體" w:eastAsia="標楷體" w:hAnsi="標楷體" w:cs="Arial"/>
                <w:szCs w:val="24"/>
              </w:rPr>
              <w:t>網路遠距教學</w:t>
            </w:r>
            <w:r w:rsidRPr="0047732F">
              <w:rPr>
                <w:rFonts w:ascii="標楷體" w:eastAsia="標楷體" w:hAnsi="標楷體" w:cs="Arial" w:hint="eastAsia"/>
                <w:szCs w:val="24"/>
              </w:rPr>
              <w:t>,</w:t>
            </w:r>
            <w:r w:rsidRPr="0047732F">
              <w:rPr>
                <w:rFonts w:ascii="標楷體" w:eastAsia="標楷體" w:hAnsi="標楷體" w:cs="Arial"/>
                <w:szCs w:val="24"/>
              </w:rPr>
              <w:t>讓市民學習空間更為寬廣，嘉惠更多有興趣學習的民眾</w:t>
            </w:r>
            <w:r w:rsidR="0047732F" w:rsidRPr="0047732F">
              <w:rPr>
                <w:rFonts w:ascii="標楷體" w:eastAsia="標楷體" w:hAnsi="標楷體" w:cs="Arial"/>
                <w:szCs w:val="24"/>
              </w:rPr>
              <w:t>，</w:t>
            </w:r>
            <w:r w:rsidRPr="0047732F">
              <w:rPr>
                <w:rFonts w:ascii="標楷體" w:eastAsia="標楷體" w:hAnsi="標楷體" w:cs="Arial" w:hint="eastAsia"/>
                <w:szCs w:val="24"/>
              </w:rPr>
              <w:t>即所謂的「</w:t>
            </w:r>
            <w:r w:rsidRPr="0047732F">
              <w:rPr>
                <w:rFonts w:ascii="標楷體" w:eastAsia="標楷體" w:hAnsi="標楷體" w:cs="Arial"/>
                <w:szCs w:val="24"/>
              </w:rPr>
              <w:t>免試升學、免費入學</w:t>
            </w:r>
            <w:r w:rsidRPr="0047732F">
              <w:rPr>
                <w:rFonts w:ascii="標楷體" w:eastAsia="標楷體" w:hAnsi="標楷體" w:cs="Arial" w:hint="eastAsia"/>
                <w:szCs w:val="24"/>
              </w:rPr>
              <w:t>」</w:t>
            </w:r>
          </w:p>
        </w:tc>
      </w:tr>
      <w:tr w:rsidR="00B52C24" w:rsidRPr="00EB44BF" w:rsidTr="0047732F">
        <w:tc>
          <w:tcPr>
            <w:tcW w:w="1057" w:type="dxa"/>
          </w:tcPr>
          <w:p w:rsidR="00102DF7" w:rsidRPr="0047732F" w:rsidRDefault="001B5AAF" w:rsidP="00102DF7">
            <w:pPr>
              <w:rPr>
                <w:rFonts w:ascii="標楷體" w:eastAsia="標楷體" w:hAnsi="標楷體" w:cs="Arial"/>
                <w:szCs w:val="24"/>
              </w:rPr>
            </w:pPr>
            <w:r w:rsidRPr="0047732F">
              <w:rPr>
                <w:rFonts w:ascii="標楷體" w:eastAsia="標楷體" w:hAnsi="標楷體" w:cs="Arial" w:hint="eastAsia"/>
                <w:szCs w:val="24"/>
              </w:rPr>
              <w:t>開</w:t>
            </w:r>
            <w:r w:rsidR="00102DF7" w:rsidRPr="0047732F">
              <w:rPr>
                <w:rFonts w:ascii="標楷體" w:eastAsia="標楷體" w:hAnsi="標楷體" w:cs="Arial" w:hint="eastAsia"/>
                <w:szCs w:val="24"/>
              </w:rPr>
              <w:t>站</w:t>
            </w:r>
          </w:p>
          <w:p w:rsidR="00B52C24" w:rsidRPr="0047732F" w:rsidRDefault="001B5AAF" w:rsidP="00102DF7">
            <w:pPr>
              <w:rPr>
                <w:rFonts w:ascii="標楷體" w:eastAsia="標楷體" w:hAnsi="標楷體" w:cs="Arial"/>
                <w:szCs w:val="24"/>
              </w:rPr>
            </w:pPr>
            <w:r w:rsidRPr="0047732F">
              <w:rPr>
                <w:rFonts w:ascii="標楷體" w:eastAsia="標楷體" w:hAnsi="標楷體" w:cs="Arial" w:hint="eastAsia"/>
                <w:szCs w:val="24"/>
              </w:rPr>
              <w:t>時間</w:t>
            </w:r>
          </w:p>
        </w:tc>
        <w:tc>
          <w:tcPr>
            <w:tcW w:w="4965" w:type="dxa"/>
          </w:tcPr>
          <w:p w:rsidR="00B52C24" w:rsidRPr="0047732F" w:rsidRDefault="00102DF7">
            <w:pPr>
              <w:rPr>
                <w:rFonts w:ascii="標楷體" w:eastAsia="標楷體" w:hAnsi="標楷體" w:cs="Arial"/>
                <w:szCs w:val="24"/>
              </w:rPr>
            </w:pPr>
            <w:r w:rsidRPr="0047732F">
              <w:rPr>
                <w:rFonts w:ascii="標楷體" w:eastAsia="標楷體" w:hAnsi="標楷體" w:cs="Arial" w:hint="eastAsia"/>
                <w:szCs w:val="24"/>
              </w:rPr>
              <w:t>90年11月22日正式開站</w:t>
            </w:r>
          </w:p>
        </w:tc>
        <w:tc>
          <w:tcPr>
            <w:tcW w:w="4966" w:type="dxa"/>
          </w:tcPr>
          <w:p w:rsidR="00B52C24" w:rsidRPr="0047732F" w:rsidRDefault="001B5AAF">
            <w:pPr>
              <w:rPr>
                <w:rFonts w:ascii="標楷體" w:eastAsia="標楷體" w:hAnsi="標楷體" w:cs="Tahoma"/>
                <w:spacing w:val="39"/>
                <w:szCs w:val="24"/>
              </w:rPr>
            </w:pPr>
            <w:r w:rsidRPr="0047732F">
              <w:rPr>
                <w:rFonts w:ascii="標楷體" w:eastAsia="標楷體" w:hAnsi="標楷體" w:cs="Tahoma" w:hint="eastAsia"/>
                <w:spacing w:val="39"/>
                <w:szCs w:val="24"/>
              </w:rPr>
              <w:t>99年1月6日</w:t>
            </w:r>
          </w:p>
        </w:tc>
      </w:tr>
      <w:tr w:rsidR="00B029C6" w:rsidRPr="00EB44BF" w:rsidTr="0047732F">
        <w:tc>
          <w:tcPr>
            <w:tcW w:w="1057" w:type="dxa"/>
          </w:tcPr>
          <w:p w:rsidR="0047732F" w:rsidRPr="0047732F" w:rsidRDefault="00B029C6">
            <w:pPr>
              <w:rPr>
                <w:rFonts w:ascii="標楷體" w:eastAsia="標楷體" w:hAnsi="標楷體" w:hint="eastAsia"/>
                <w:szCs w:val="24"/>
              </w:rPr>
            </w:pPr>
            <w:r w:rsidRPr="0047732F">
              <w:rPr>
                <w:rFonts w:ascii="標楷體" w:eastAsia="標楷體" w:hAnsi="標楷體" w:hint="eastAsia"/>
                <w:szCs w:val="24"/>
              </w:rPr>
              <w:t>服務</w:t>
            </w:r>
          </w:p>
          <w:p w:rsidR="00B029C6" w:rsidRPr="0047732F" w:rsidRDefault="00B029C6">
            <w:pPr>
              <w:rPr>
                <w:rFonts w:ascii="標楷體" w:eastAsia="標楷體" w:hAnsi="標楷體"/>
                <w:szCs w:val="24"/>
              </w:rPr>
            </w:pPr>
            <w:r w:rsidRPr="0047732F">
              <w:rPr>
                <w:rFonts w:ascii="標楷體" w:eastAsia="標楷體" w:hAnsi="標楷體" w:hint="eastAsia"/>
                <w:szCs w:val="24"/>
              </w:rPr>
              <w:t>對象</w:t>
            </w:r>
          </w:p>
        </w:tc>
        <w:tc>
          <w:tcPr>
            <w:tcW w:w="4965" w:type="dxa"/>
          </w:tcPr>
          <w:p w:rsidR="00B52C24" w:rsidRPr="0047732F" w:rsidRDefault="00B546EC">
            <w:pPr>
              <w:rPr>
                <w:rFonts w:ascii="標楷體" w:eastAsia="標楷體" w:hAnsi="標楷體" w:cs="Arial"/>
                <w:szCs w:val="24"/>
              </w:rPr>
            </w:pPr>
            <w:r w:rsidRPr="0047732F">
              <w:rPr>
                <w:rFonts w:ascii="標楷體" w:eastAsia="標楷體" w:hAnsi="標楷體" w:cs="Arial" w:hint="eastAsia"/>
                <w:szCs w:val="24"/>
              </w:rPr>
              <w:t>1.</w:t>
            </w:r>
            <w:r w:rsidRPr="0047732F">
              <w:rPr>
                <w:rFonts w:ascii="標楷體" w:eastAsia="標楷體" w:hAnsi="標楷體" w:cs="Arial"/>
                <w:szCs w:val="24"/>
              </w:rPr>
              <w:t xml:space="preserve"> 對象除了市府員工外，</w:t>
            </w:r>
          </w:p>
          <w:p w:rsidR="00B52C24" w:rsidRPr="0047732F" w:rsidRDefault="00B546EC">
            <w:pPr>
              <w:rPr>
                <w:rFonts w:ascii="標楷體" w:eastAsia="標楷體" w:hAnsi="標楷體" w:cs="Arial"/>
                <w:szCs w:val="24"/>
              </w:rPr>
            </w:pPr>
            <w:r w:rsidRPr="0047732F">
              <w:rPr>
                <w:rFonts w:ascii="標楷體" w:eastAsia="標楷體" w:hAnsi="標楷體" w:cs="Arial"/>
                <w:szCs w:val="24"/>
              </w:rPr>
              <w:t>也以折扣方式開放給各級政府，</w:t>
            </w:r>
          </w:p>
          <w:p w:rsidR="00B546EC" w:rsidRPr="0047732F" w:rsidRDefault="00B546EC">
            <w:pPr>
              <w:rPr>
                <w:rFonts w:ascii="標楷體" w:eastAsia="標楷體" w:hAnsi="標楷體" w:cs="Arial"/>
                <w:szCs w:val="24"/>
              </w:rPr>
            </w:pPr>
            <w:r w:rsidRPr="0047732F">
              <w:rPr>
                <w:rFonts w:ascii="標楷體" w:eastAsia="標楷體" w:hAnsi="標楷體" w:cs="Arial"/>
                <w:szCs w:val="24"/>
              </w:rPr>
              <w:t>對一般民眾也提供各項免費、付費及視聽課程</w:t>
            </w:r>
          </w:p>
          <w:p w:rsidR="00B029C6" w:rsidRPr="0047732F" w:rsidRDefault="00B546EC">
            <w:pPr>
              <w:rPr>
                <w:rFonts w:ascii="標楷體" w:eastAsia="標楷體" w:hAnsi="標楷體"/>
                <w:szCs w:val="24"/>
              </w:rPr>
            </w:pPr>
            <w:r w:rsidRPr="0047732F">
              <w:rPr>
                <w:rFonts w:ascii="標楷體" w:eastAsia="標楷體" w:hAnsi="標楷體" w:cs="Arial" w:hint="eastAsia"/>
                <w:szCs w:val="24"/>
              </w:rPr>
              <w:t>2.</w:t>
            </w:r>
            <w:r w:rsidR="00B029C6" w:rsidRPr="0047732F">
              <w:rPr>
                <w:rFonts w:ascii="標楷體" w:eastAsia="標楷體" w:hAnsi="標楷體" w:cs="Arial"/>
                <w:szCs w:val="24"/>
              </w:rPr>
              <w:t>有興趣的民眾</w:t>
            </w:r>
            <w:r w:rsidR="0047732F" w:rsidRPr="0047732F">
              <w:rPr>
                <w:rFonts w:ascii="標楷體" w:eastAsia="標楷體" w:hAnsi="標楷體" w:cs="Arial" w:hint="eastAsia"/>
                <w:szCs w:val="24"/>
              </w:rPr>
              <w:t>皆可</w:t>
            </w:r>
            <w:r w:rsidR="00B029C6" w:rsidRPr="0047732F">
              <w:rPr>
                <w:rFonts w:ascii="標楷體" w:eastAsia="標楷體" w:hAnsi="標楷體" w:cs="Arial"/>
                <w:szCs w:val="24"/>
              </w:rPr>
              <w:t>上網登錄加入會員</w:t>
            </w:r>
          </w:p>
        </w:tc>
        <w:tc>
          <w:tcPr>
            <w:tcW w:w="4966" w:type="dxa"/>
          </w:tcPr>
          <w:p w:rsidR="00B029C6" w:rsidRPr="0047732F" w:rsidRDefault="002E1AC2">
            <w:pPr>
              <w:rPr>
                <w:rFonts w:ascii="標楷體" w:eastAsia="標楷體" w:hAnsi="標楷體"/>
                <w:szCs w:val="24"/>
              </w:rPr>
            </w:pPr>
            <w:r w:rsidRPr="0047732F">
              <w:rPr>
                <w:rFonts w:ascii="標楷體" w:eastAsia="標楷體" w:hAnsi="標楷體" w:cs="Arial" w:hint="eastAsia"/>
                <w:szCs w:val="24"/>
              </w:rPr>
              <w:t>只要</w:t>
            </w:r>
            <w:r w:rsidRPr="0047732F">
              <w:rPr>
                <w:rFonts w:ascii="標楷體" w:eastAsia="標楷體" w:hAnsi="標楷體" w:cs="Arial"/>
                <w:szCs w:val="24"/>
              </w:rPr>
              <w:t>有學習意願</w:t>
            </w:r>
            <w:r w:rsidRPr="0047732F">
              <w:rPr>
                <w:rFonts w:ascii="標楷體" w:eastAsia="標楷體" w:hAnsi="標楷體" w:cs="Arial" w:hint="eastAsia"/>
                <w:szCs w:val="24"/>
              </w:rPr>
              <w:t>的民眾</w:t>
            </w:r>
            <w:r w:rsidRPr="0047732F">
              <w:rPr>
                <w:rFonts w:ascii="標楷體" w:eastAsia="標楷體" w:hAnsi="標楷體" w:cs="Arial"/>
                <w:szCs w:val="24"/>
              </w:rPr>
              <w:t>，</w:t>
            </w:r>
            <w:r w:rsidRPr="0047732F">
              <w:rPr>
                <w:rFonts w:ascii="標楷體" w:eastAsia="標楷體" w:hAnsi="標楷體" w:cs="Arial" w:hint="eastAsia"/>
                <w:szCs w:val="24"/>
              </w:rPr>
              <w:t>皆可</w:t>
            </w:r>
            <w:r w:rsidRPr="0047732F">
              <w:rPr>
                <w:rFonts w:ascii="標楷體" w:eastAsia="標楷體" w:hAnsi="標楷體" w:cs="Arial"/>
                <w:szCs w:val="24"/>
              </w:rPr>
              <w:t>免費註冊申請成為會員</w:t>
            </w:r>
          </w:p>
        </w:tc>
      </w:tr>
      <w:tr w:rsidR="00B029C6" w:rsidRPr="00EB44BF" w:rsidTr="0047732F">
        <w:tc>
          <w:tcPr>
            <w:tcW w:w="1057" w:type="dxa"/>
          </w:tcPr>
          <w:p w:rsidR="0047732F" w:rsidRPr="0047732F" w:rsidRDefault="00B029C6">
            <w:pPr>
              <w:rPr>
                <w:rFonts w:ascii="標楷體" w:eastAsia="標楷體" w:hAnsi="標楷體" w:hint="eastAsia"/>
                <w:szCs w:val="24"/>
              </w:rPr>
            </w:pPr>
            <w:r w:rsidRPr="0047732F">
              <w:rPr>
                <w:rFonts w:ascii="標楷體" w:eastAsia="標楷體" w:hAnsi="標楷體" w:hint="eastAsia"/>
                <w:szCs w:val="24"/>
              </w:rPr>
              <w:t>網站</w:t>
            </w:r>
          </w:p>
          <w:p w:rsidR="0047732F" w:rsidRPr="0047732F" w:rsidRDefault="00B029C6">
            <w:pPr>
              <w:rPr>
                <w:rFonts w:ascii="標楷體" w:eastAsia="標楷體" w:hAnsi="標楷體" w:hint="eastAsia"/>
                <w:szCs w:val="24"/>
              </w:rPr>
            </w:pPr>
            <w:r w:rsidRPr="0047732F">
              <w:rPr>
                <w:rFonts w:ascii="標楷體" w:eastAsia="標楷體" w:hAnsi="標楷體" w:hint="eastAsia"/>
                <w:szCs w:val="24"/>
              </w:rPr>
              <w:t>經營</w:t>
            </w:r>
          </w:p>
          <w:p w:rsidR="00B029C6" w:rsidRPr="0047732F" w:rsidRDefault="00B029C6">
            <w:pPr>
              <w:rPr>
                <w:rFonts w:ascii="標楷體" w:eastAsia="標楷體" w:hAnsi="標楷體"/>
                <w:szCs w:val="24"/>
              </w:rPr>
            </w:pPr>
            <w:r w:rsidRPr="0047732F">
              <w:rPr>
                <w:rFonts w:ascii="標楷體" w:eastAsia="標楷體" w:hAnsi="標楷體" w:hint="eastAsia"/>
                <w:szCs w:val="24"/>
              </w:rPr>
              <w:t>模式</w:t>
            </w:r>
          </w:p>
        </w:tc>
        <w:tc>
          <w:tcPr>
            <w:tcW w:w="4965" w:type="dxa"/>
          </w:tcPr>
          <w:p w:rsidR="00185323" w:rsidRPr="0047732F" w:rsidRDefault="00185323" w:rsidP="0047732F">
            <w:pPr>
              <w:rPr>
                <w:rFonts w:ascii="標楷體" w:eastAsia="標楷體" w:hAnsi="標楷體"/>
                <w:szCs w:val="24"/>
              </w:rPr>
            </w:pPr>
            <w:r w:rsidRPr="0047732F">
              <w:rPr>
                <w:rFonts w:ascii="標楷體" w:eastAsia="標楷體" w:hAnsi="標楷體" w:hint="eastAsia"/>
                <w:szCs w:val="24"/>
              </w:rPr>
              <w:t>本學習網課程，可依屬性分類如下：</w:t>
            </w:r>
            <w:r w:rsidRPr="0047732F">
              <w:rPr>
                <w:rFonts w:ascii="標楷體" w:eastAsia="標楷體" w:hAnsi="標楷體"/>
                <w:szCs w:val="24"/>
              </w:rPr>
              <w:t xml:space="preserve"> </w:t>
            </w:r>
          </w:p>
          <w:p w:rsidR="00185323" w:rsidRPr="0047732F" w:rsidRDefault="00185323" w:rsidP="0047732F">
            <w:pPr>
              <w:rPr>
                <w:rFonts w:ascii="標楷體" w:eastAsia="標楷體" w:hAnsi="標楷體"/>
                <w:szCs w:val="24"/>
              </w:rPr>
            </w:pPr>
            <w:r w:rsidRPr="0047732F">
              <w:rPr>
                <w:rFonts w:ascii="標楷體" w:eastAsia="標楷體" w:hAnsi="標楷體" w:hint="eastAsia"/>
                <w:b/>
                <w:bCs/>
              </w:rPr>
              <w:t>課程內容</w:t>
            </w:r>
            <w:r w:rsidRPr="0047732F">
              <w:rPr>
                <w:rFonts w:ascii="標楷體" w:eastAsia="標楷體" w:hAnsi="標楷體" w:hint="eastAsia"/>
                <w:szCs w:val="24"/>
              </w:rPr>
              <w:t>分為：語言、資訊、公務、管理、人文</w:t>
            </w:r>
            <w:r w:rsidR="002E1AC2" w:rsidRPr="0047732F">
              <w:rPr>
                <w:rFonts w:ascii="標楷體" w:eastAsia="標楷體" w:hAnsi="標楷體" w:hint="eastAsia"/>
                <w:szCs w:val="24"/>
              </w:rPr>
              <w:t>五類</w:t>
            </w:r>
            <w:r w:rsidRPr="0047732F">
              <w:rPr>
                <w:rFonts w:ascii="標楷體" w:eastAsia="標楷體" w:hAnsi="標楷體" w:hint="eastAsia"/>
                <w:szCs w:val="24"/>
              </w:rPr>
              <w:t>。</w:t>
            </w:r>
            <w:r w:rsidRPr="0047732F">
              <w:rPr>
                <w:rFonts w:ascii="標楷體" w:eastAsia="標楷體" w:hAnsi="標楷體"/>
                <w:szCs w:val="24"/>
              </w:rPr>
              <w:t xml:space="preserve"> </w:t>
            </w:r>
          </w:p>
          <w:p w:rsidR="00185323" w:rsidRPr="0047732F" w:rsidRDefault="00185323" w:rsidP="0047732F">
            <w:pPr>
              <w:rPr>
                <w:rFonts w:ascii="標楷體" w:eastAsia="標楷體" w:hAnsi="標楷體"/>
                <w:szCs w:val="24"/>
              </w:rPr>
            </w:pPr>
            <w:r w:rsidRPr="0047732F">
              <w:rPr>
                <w:rFonts w:ascii="標楷體" w:eastAsia="標楷體" w:hAnsi="標楷體" w:hint="eastAsia"/>
                <w:b/>
                <w:bCs/>
              </w:rPr>
              <w:t>選課資格</w:t>
            </w:r>
            <w:r w:rsidRPr="0047732F">
              <w:rPr>
                <w:rFonts w:ascii="標楷體" w:eastAsia="標楷體" w:hAnsi="標楷體" w:hint="eastAsia"/>
                <w:szCs w:val="24"/>
              </w:rPr>
              <w:t>分為：無限制、限臺北市政府員工、限一般民眾、包班。</w:t>
            </w:r>
            <w:r w:rsidRPr="0047732F">
              <w:rPr>
                <w:rFonts w:ascii="標楷體" w:eastAsia="標楷體" w:hAnsi="標楷體"/>
                <w:szCs w:val="24"/>
              </w:rPr>
              <w:t xml:space="preserve"> </w:t>
            </w:r>
          </w:p>
          <w:p w:rsidR="00185323" w:rsidRPr="0047732F" w:rsidRDefault="00185323" w:rsidP="0047732F">
            <w:pPr>
              <w:rPr>
                <w:rFonts w:ascii="標楷體" w:eastAsia="標楷體" w:hAnsi="標楷體"/>
                <w:szCs w:val="24"/>
              </w:rPr>
            </w:pPr>
            <w:r w:rsidRPr="0047732F">
              <w:rPr>
                <w:rFonts w:ascii="標楷體" w:eastAsia="標楷體" w:hAnsi="標楷體" w:hint="eastAsia"/>
                <w:b/>
                <w:bCs/>
              </w:rPr>
              <w:t>上課方式</w:t>
            </w:r>
            <w:r w:rsidRPr="0047732F">
              <w:rPr>
                <w:rFonts w:ascii="標楷體" w:eastAsia="標楷體" w:hAnsi="標楷體" w:hint="eastAsia"/>
                <w:szCs w:val="24"/>
              </w:rPr>
              <w:t>分為：線上、實體、混成。</w:t>
            </w:r>
            <w:r w:rsidRPr="0047732F">
              <w:rPr>
                <w:rFonts w:ascii="標楷體" w:eastAsia="標楷體" w:hAnsi="標楷體"/>
                <w:szCs w:val="24"/>
              </w:rPr>
              <w:t xml:space="preserve"> </w:t>
            </w:r>
          </w:p>
          <w:p w:rsidR="00185323" w:rsidRPr="0047732F" w:rsidRDefault="00185323" w:rsidP="0047732F">
            <w:pPr>
              <w:rPr>
                <w:rFonts w:ascii="標楷體" w:eastAsia="標楷體" w:hAnsi="標楷體"/>
                <w:szCs w:val="24"/>
              </w:rPr>
            </w:pPr>
            <w:r w:rsidRPr="0047732F">
              <w:rPr>
                <w:rFonts w:ascii="標楷體" w:eastAsia="標楷體" w:hAnsi="標楷體" w:hint="eastAsia"/>
                <w:b/>
                <w:bCs/>
              </w:rPr>
              <w:t>繳費方式</w:t>
            </w:r>
            <w:r w:rsidRPr="0047732F">
              <w:rPr>
                <w:rFonts w:ascii="標楷體" w:eastAsia="標楷體" w:hAnsi="標楷體" w:hint="eastAsia"/>
                <w:szCs w:val="24"/>
              </w:rPr>
              <w:t>分為：免費、繳費單繳費、現場繳費。</w:t>
            </w:r>
          </w:p>
          <w:p w:rsidR="00B029C6" w:rsidRPr="0047732F" w:rsidRDefault="00B029C6">
            <w:pPr>
              <w:rPr>
                <w:rFonts w:ascii="標楷體" w:eastAsia="標楷體" w:hAnsi="標楷體"/>
                <w:szCs w:val="24"/>
              </w:rPr>
            </w:pPr>
          </w:p>
        </w:tc>
        <w:tc>
          <w:tcPr>
            <w:tcW w:w="4966" w:type="dxa"/>
          </w:tcPr>
          <w:p w:rsidR="002E1AC2" w:rsidRPr="0047732F" w:rsidRDefault="00B52C24">
            <w:pPr>
              <w:rPr>
                <w:rFonts w:ascii="標楷體" w:eastAsia="標楷體" w:hAnsi="標楷體"/>
                <w:szCs w:val="24"/>
              </w:rPr>
            </w:pPr>
            <w:r w:rsidRPr="0047732F">
              <w:rPr>
                <w:rFonts w:ascii="標楷體" w:eastAsia="標楷體" w:hAnsi="標楷體" w:hint="eastAsia"/>
                <w:szCs w:val="24"/>
              </w:rPr>
              <w:t>1.</w:t>
            </w:r>
            <w:r w:rsidR="002E1AC2" w:rsidRPr="0047732F">
              <w:rPr>
                <w:rFonts w:ascii="標楷體" w:eastAsia="標楷體" w:hAnsi="標楷體" w:hint="eastAsia"/>
                <w:szCs w:val="24"/>
              </w:rPr>
              <w:t>課程內容分為管理、語文、科技、法制、市政、人文、</w:t>
            </w:r>
            <w:r w:rsidRPr="0047732F">
              <w:rPr>
                <w:rFonts w:ascii="標楷體" w:eastAsia="標楷體" w:hAnsi="標楷體" w:hint="eastAsia"/>
                <w:szCs w:val="24"/>
              </w:rPr>
              <w:t>生活七學苑</w:t>
            </w:r>
          </w:p>
          <w:p w:rsidR="0018775E" w:rsidRPr="0047732F" w:rsidRDefault="00B52C24">
            <w:pPr>
              <w:rPr>
                <w:rFonts w:ascii="標楷體" w:eastAsia="標楷體" w:hAnsi="標楷體"/>
                <w:szCs w:val="24"/>
              </w:rPr>
            </w:pPr>
            <w:r w:rsidRPr="0047732F">
              <w:rPr>
                <w:rFonts w:ascii="標楷體" w:eastAsia="標楷體" w:hAnsi="標楷體" w:hint="eastAsia"/>
                <w:szCs w:val="24"/>
              </w:rPr>
              <w:t>2.</w:t>
            </w:r>
            <w:r w:rsidR="00B65CC0" w:rsidRPr="0047732F">
              <w:rPr>
                <w:rFonts w:ascii="標楷體" w:eastAsia="標楷體" w:hAnsi="標楷體"/>
                <w:szCs w:val="24"/>
              </w:rPr>
              <w:t xml:space="preserve"> 目前『港都e學苑』數位學習平台上的課程，皆不收費</w:t>
            </w:r>
          </w:p>
        </w:tc>
      </w:tr>
      <w:tr w:rsidR="00B029C6" w:rsidRPr="00EB44BF" w:rsidTr="0047732F">
        <w:tc>
          <w:tcPr>
            <w:tcW w:w="1057" w:type="dxa"/>
          </w:tcPr>
          <w:p w:rsidR="00B029C6" w:rsidRPr="0047732F" w:rsidRDefault="00B029C6">
            <w:pPr>
              <w:rPr>
                <w:rFonts w:ascii="標楷體" w:eastAsia="標楷體" w:hAnsi="標楷體"/>
                <w:szCs w:val="24"/>
              </w:rPr>
            </w:pPr>
            <w:r w:rsidRPr="0047732F">
              <w:rPr>
                <w:rFonts w:ascii="標楷體" w:eastAsia="標楷體" w:hAnsi="標楷體" w:hint="eastAsia"/>
                <w:szCs w:val="24"/>
              </w:rPr>
              <w:t>活動</w:t>
            </w:r>
          </w:p>
        </w:tc>
        <w:tc>
          <w:tcPr>
            <w:tcW w:w="4965" w:type="dxa"/>
          </w:tcPr>
          <w:p w:rsidR="00B029C6" w:rsidRPr="0047732F" w:rsidRDefault="0047732F">
            <w:pPr>
              <w:rPr>
                <w:rFonts w:ascii="標楷體" w:eastAsia="標楷體" w:hAnsi="標楷體"/>
                <w:szCs w:val="24"/>
              </w:rPr>
            </w:pPr>
            <w:r>
              <w:rPr>
                <w:rFonts w:ascii="標楷體" w:eastAsia="標楷體" w:hAnsi="標楷體" w:hint="eastAsia"/>
                <w:szCs w:val="24"/>
              </w:rPr>
              <w:t>不定期舉辦活動得以活絡民眾的使用並藉以宣傳。像是</w:t>
            </w:r>
            <w:r w:rsidR="00B65CC0" w:rsidRPr="0047732F">
              <w:rPr>
                <w:rFonts w:ascii="標楷體" w:eastAsia="標楷體" w:hAnsi="標楷體" w:hint="eastAsia"/>
                <w:szCs w:val="24"/>
              </w:rPr>
              <w:t>舉辦"創E盃"－</w:t>
            </w:r>
          </w:p>
          <w:p w:rsidR="00B65CC0" w:rsidRPr="0047732F" w:rsidRDefault="00D339BC">
            <w:pPr>
              <w:rPr>
                <w:rFonts w:ascii="標楷體" w:eastAsia="標楷體" w:hAnsi="標楷體"/>
                <w:szCs w:val="24"/>
              </w:rPr>
            </w:pPr>
            <w:r w:rsidRPr="0047732F">
              <w:rPr>
                <w:rFonts w:ascii="標楷體" w:eastAsia="標楷體" w:hAnsi="標楷體" w:cs="Arial"/>
                <w:szCs w:val="24"/>
              </w:rPr>
              <w:t>創e盃</w:t>
            </w:r>
            <w:r w:rsidR="0047732F">
              <w:rPr>
                <w:rFonts w:ascii="標楷體" w:eastAsia="標楷體" w:hAnsi="標楷體" w:cs="Arial" w:hint="eastAsia"/>
                <w:szCs w:val="24"/>
              </w:rPr>
              <w:t>為</w:t>
            </w:r>
            <w:r w:rsidRPr="0047732F">
              <w:rPr>
                <w:rFonts w:ascii="標楷體" w:eastAsia="標楷體" w:hAnsi="標楷體" w:cs="Arial"/>
                <w:szCs w:val="24"/>
              </w:rPr>
              <w:t>數位內容競賽，目的</w:t>
            </w:r>
            <w:r w:rsidR="0047732F">
              <w:rPr>
                <w:rFonts w:ascii="標楷體" w:eastAsia="標楷體" w:hAnsi="標楷體" w:cs="Arial" w:hint="eastAsia"/>
                <w:szCs w:val="24"/>
              </w:rPr>
              <w:t>是</w:t>
            </w:r>
            <w:r w:rsidRPr="0047732F">
              <w:rPr>
                <w:rFonts w:ascii="標楷體" w:eastAsia="標楷體" w:hAnsi="標楷體" w:cs="Arial"/>
                <w:szCs w:val="24"/>
              </w:rPr>
              <w:t>在現有e大平台發掘創意數位教材</w:t>
            </w:r>
            <w:r w:rsidRPr="0047732F">
              <w:rPr>
                <w:rFonts w:ascii="標楷體" w:eastAsia="標楷體" w:hAnsi="標楷體" w:cs="Arial" w:hint="eastAsia"/>
                <w:szCs w:val="24"/>
              </w:rPr>
              <w:t>及作品</w:t>
            </w:r>
          </w:p>
        </w:tc>
        <w:tc>
          <w:tcPr>
            <w:tcW w:w="4966" w:type="dxa"/>
          </w:tcPr>
          <w:p w:rsidR="00B029C6" w:rsidRPr="0047732F" w:rsidRDefault="00B029C6">
            <w:pPr>
              <w:rPr>
                <w:rFonts w:ascii="標楷體" w:eastAsia="標楷體" w:hAnsi="標楷體"/>
                <w:szCs w:val="24"/>
              </w:rPr>
            </w:pPr>
          </w:p>
        </w:tc>
      </w:tr>
      <w:tr w:rsidR="00B029C6" w:rsidRPr="00EB44BF" w:rsidTr="0047732F">
        <w:tc>
          <w:tcPr>
            <w:tcW w:w="1057" w:type="dxa"/>
          </w:tcPr>
          <w:p w:rsidR="00B029C6" w:rsidRPr="0047732F" w:rsidRDefault="00B029C6">
            <w:pPr>
              <w:rPr>
                <w:rFonts w:ascii="標楷體" w:eastAsia="標楷體" w:hAnsi="標楷體"/>
                <w:szCs w:val="24"/>
              </w:rPr>
            </w:pPr>
            <w:r w:rsidRPr="0047732F">
              <w:rPr>
                <w:rFonts w:ascii="標楷體" w:eastAsia="標楷體" w:hAnsi="標楷體" w:hint="eastAsia"/>
                <w:szCs w:val="24"/>
              </w:rPr>
              <w:t>創意</w:t>
            </w:r>
          </w:p>
        </w:tc>
        <w:tc>
          <w:tcPr>
            <w:tcW w:w="4965" w:type="dxa"/>
          </w:tcPr>
          <w:p w:rsidR="00B52C24" w:rsidRPr="0047732F" w:rsidRDefault="00185323" w:rsidP="00185323">
            <w:pPr>
              <w:pStyle w:val="a5"/>
              <w:numPr>
                <w:ilvl w:val="0"/>
                <w:numId w:val="1"/>
              </w:numPr>
              <w:ind w:leftChars="0"/>
              <w:rPr>
                <w:rFonts w:ascii="標楷體" w:eastAsia="標楷體" w:hAnsi="標楷體"/>
                <w:szCs w:val="24"/>
              </w:rPr>
            </w:pPr>
            <w:r w:rsidRPr="0047732F">
              <w:rPr>
                <w:rFonts w:ascii="標楷體" w:eastAsia="標楷體" w:hAnsi="標楷體" w:hint="eastAsia"/>
                <w:szCs w:val="24"/>
              </w:rPr>
              <w:t>雙週出刊的「</w:t>
            </w:r>
            <w:hyperlink r:id="rId7" w:history="1">
              <w:r w:rsidRPr="0047732F">
                <w:rPr>
                  <w:rStyle w:val="a4"/>
                  <w:rFonts w:ascii="標楷體" w:eastAsia="標楷體" w:hAnsi="標楷體" w:hint="default"/>
                  <w:color w:val="auto"/>
                  <w:sz w:val="24"/>
                  <w:szCs w:val="24"/>
                  <w:u w:val="single"/>
                </w:rPr>
                <w:t>臺北e大。鮮活管理報</w:t>
              </w:r>
            </w:hyperlink>
            <w:r w:rsidRPr="0047732F">
              <w:rPr>
                <w:rFonts w:ascii="標楷體" w:eastAsia="標楷體" w:hAnsi="標楷體" w:hint="eastAsia"/>
                <w:szCs w:val="24"/>
              </w:rPr>
              <w:t>」，一出刊立即傳送至</w:t>
            </w:r>
            <w:r w:rsidR="00B52C24" w:rsidRPr="0047732F">
              <w:rPr>
                <w:rFonts w:ascii="標楷體" w:eastAsia="標楷體" w:hAnsi="標楷體" w:hint="eastAsia"/>
                <w:szCs w:val="24"/>
              </w:rPr>
              <w:t>會員</w:t>
            </w:r>
            <w:r w:rsidRPr="0047732F">
              <w:rPr>
                <w:rFonts w:ascii="標楷體" w:eastAsia="標楷體" w:hAnsi="標楷體" w:hint="eastAsia"/>
                <w:szCs w:val="24"/>
              </w:rPr>
              <w:t>的電子信箱。</w:t>
            </w:r>
          </w:p>
          <w:p w:rsidR="00B029C6" w:rsidRPr="0047732F" w:rsidRDefault="00185323" w:rsidP="00B52C24">
            <w:pPr>
              <w:pStyle w:val="a5"/>
              <w:ind w:leftChars="0" w:left="360"/>
              <w:rPr>
                <w:rFonts w:ascii="標楷體" w:eastAsia="標楷體" w:hAnsi="標楷體"/>
                <w:szCs w:val="24"/>
              </w:rPr>
            </w:pPr>
            <w:r w:rsidRPr="0047732F">
              <w:rPr>
                <w:rFonts w:ascii="標楷體" w:eastAsia="標楷體" w:hAnsi="標楷體" w:hint="eastAsia"/>
                <w:szCs w:val="24"/>
              </w:rPr>
              <w:t>內容涵括專欄專文、生活講座、藝文訊息，讓您以最便利的方式取得第一手消息</w:t>
            </w:r>
          </w:p>
          <w:p w:rsidR="00B52C24" w:rsidRPr="0047732F" w:rsidRDefault="00B52C24" w:rsidP="00B52C24">
            <w:pPr>
              <w:pStyle w:val="a5"/>
              <w:numPr>
                <w:ilvl w:val="0"/>
                <w:numId w:val="1"/>
              </w:numPr>
              <w:ind w:leftChars="0"/>
              <w:rPr>
                <w:rFonts w:ascii="標楷體" w:eastAsia="標楷體" w:hAnsi="標楷體"/>
                <w:szCs w:val="24"/>
              </w:rPr>
            </w:pPr>
            <w:r w:rsidRPr="0047732F">
              <w:rPr>
                <w:rFonts w:ascii="標楷體" w:eastAsia="標楷體" w:hAnsi="標楷體" w:hint="eastAsia"/>
                <w:szCs w:val="24"/>
              </w:rPr>
              <w:t>為了讓學習者多與同儕共同學習的感覺，設立</w:t>
            </w:r>
            <w:r w:rsidR="00185323" w:rsidRPr="0047732F">
              <w:rPr>
                <w:rFonts w:ascii="標楷體" w:eastAsia="標楷體" w:hAnsi="標楷體" w:hint="eastAsia"/>
                <w:szCs w:val="24"/>
              </w:rPr>
              <w:t>臺北e大的學習社群，有講師、助教、學員們與您共同成長學習，讓</w:t>
            </w:r>
            <w:r w:rsidRPr="0047732F">
              <w:rPr>
                <w:rFonts w:ascii="標楷體" w:eastAsia="標楷體" w:hAnsi="標楷體" w:hint="eastAsia"/>
                <w:szCs w:val="24"/>
              </w:rPr>
              <w:t>學員</w:t>
            </w:r>
            <w:r w:rsidR="00185323" w:rsidRPr="0047732F">
              <w:rPr>
                <w:rFonts w:ascii="標楷體" w:eastAsia="標楷體" w:hAnsi="標楷體" w:hint="eastAsia"/>
                <w:szCs w:val="24"/>
              </w:rPr>
              <w:t>上網學習不再充滿孤獨無力感。</w:t>
            </w:r>
          </w:p>
          <w:p w:rsidR="00185323" w:rsidRPr="0047732F" w:rsidRDefault="00B52C24" w:rsidP="00B52C24">
            <w:pPr>
              <w:pStyle w:val="a5"/>
              <w:ind w:leftChars="0" w:left="360"/>
              <w:rPr>
                <w:rFonts w:ascii="標楷體" w:eastAsia="標楷體" w:hAnsi="標楷體"/>
                <w:szCs w:val="24"/>
              </w:rPr>
            </w:pPr>
            <w:r w:rsidRPr="0047732F">
              <w:rPr>
                <w:rFonts w:ascii="標楷體" w:eastAsia="標楷體" w:hAnsi="標楷體" w:hint="eastAsia"/>
                <w:szCs w:val="24"/>
              </w:rPr>
              <w:t>透過社群，學員</w:t>
            </w:r>
            <w:r w:rsidR="00185323" w:rsidRPr="0047732F">
              <w:rPr>
                <w:rFonts w:ascii="標楷體" w:eastAsia="標楷體" w:hAnsi="標楷體" w:hint="eastAsia"/>
                <w:szCs w:val="24"/>
              </w:rPr>
              <w:t>的滿腹疑問不再無處詢問，透過社群，知識分享學習加倍</w:t>
            </w:r>
          </w:p>
        </w:tc>
        <w:tc>
          <w:tcPr>
            <w:tcW w:w="4966" w:type="dxa"/>
          </w:tcPr>
          <w:p w:rsidR="00B029C6" w:rsidRPr="0047732F" w:rsidRDefault="00B65CC0">
            <w:pPr>
              <w:rPr>
                <w:rFonts w:ascii="標楷體" w:eastAsia="標楷體" w:hAnsi="標楷體"/>
                <w:szCs w:val="24"/>
              </w:rPr>
            </w:pPr>
            <w:r w:rsidRPr="0047732F">
              <w:rPr>
                <w:rFonts w:ascii="標楷體" w:eastAsia="標楷體" w:hAnsi="標楷體" w:hint="eastAsia"/>
                <w:szCs w:val="24"/>
              </w:rPr>
              <w:t>設立</w:t>
            </w:r>
            <w:r w:rsidR="001B5AAF" w:rsidRPr="0047732F">
              <w:rPr>
                <w:rFonts w:ascii="標楷體" w:eastAsia="標楷體" w:hAnsi="標楷體" w:hint="eastAsia"/>
                <w:szCs w:val="24"/>
              </w:rPr>
              <w:t>RSS reader－</w:t>
            </w:r>
            <w:r w:rsidR="001B5AAF" w:rsidRPr="0047732F">
              <w:rPr>
                <w:rFonts w:ascii="標楷體" w:eastAsia="標楷體" w:hAnsi="標楷體"/>
                <w:szCs w:val="24"/>
              </w:rPr>
              <w:t>透過 RSS 的使用，供應網頁內容的人可以很容易地提供並傳播新聞鏈結、標題和摘要等等的資料。</w:t>
            </w:r>
          </w:p>
        </w:tc>
      </w:tr>
      <w:tr w:rsidR="00B029C6" w:rsidRPr="00EB44BF" w:rsidTr="0047732F">
        <w:tc>
          <w:tcPr>
            <w:tcW w:w="1057" w:type="dxa"/>
          </w:tcPr>
          <w:p w:rsidR="00B029C6" w:rsidRPr="0047732F" w:rsidRDefault="00B029C6">
            <w:pPr>
              <w:rPr>
                <w:rFonts w:ascii="標楷體" w:eastAsia="標楷體" w:hAnsi="標楷體"/>
                <w:szCs w:val="24"/>
              </w:rPr>
            </w:pPr>
            <w:r w:rsidRPr="0047732F">
              <w:rPr>
                <w:rFonts w:ascii="標楷體" w:eastAsia="標楷體" w:hAnsi="標楷體" w:hint="eastAsia"/>
                <w:szCs w:val="24"/>
              </w:rPr>
              <w:t>特色</w:t>
            </w:r>
          </w:p>
        </w:tc>
        <w:tc>
          <w:tcPr>
            <w:tcW w:w="4965" w:type="dxa"/>
          </w:tcPr>
          <w:p w:rsidR="00B029C6" w:rsidRPr="0047732F" w:rsidRDefault="00B52C24" w:rsidP="00185323">
            <w:pPr>
              <w:pStyle w:val="a5"/>
              <w:numPr>
                <w:ilvl w:val="0"/>
                <w:numId w:val="2"/>
              </w:numPr>
              <w:ind w:leftChars="0"/>
              <w:rPr>
                <w:rFonts w:ascii="標楷體" w:eastAsia="標楷體" w:hAnsi="標楷體" w:cs="Arial"/>
                <w:szCs w:val="24"/>
              </w:rPr>
            </w:pPr>
            <w:r w:rsidRPr="0047732F">
              <w:rPr>
                <w:rFonts w:ascii="標楷體" w:eastAsia="標楷體" w:hAnsi="標楷體" w:cs="Arial" w:hint="eastAsia"/>
                <w:szCs w:val="24"/>
              </w:rPr>
              <w:t>如此的數位學習課程擁有</w:t>
            </w:r>
            <w:r w:rsidR="00185323" w:rsidRPr="0047732F">
              <w:rPr>
                <w:rFonts w:ascii="標楷體" w:eastAsia="標楷體" w:hAnsi="標楷體" w:cs="Arial"/>
                <w:szCs w:val="24"/>
              </w:rPr>
              <w:t>大量學習、快速學習</w:t>
            </w:r>
            <w:r w:rsidRPr="0047732F">
              <w:rPr>
                <w:rFonts w:ascii="標楷體" w:eastAsia="標楷體" w:hAnsi="標楷體" w:cs="Arial"/>
                <w:szCs w:val="24"/>
              </w:rPr>
              <w:t>、隨時學習、隨地學習、互動學習、社群學習與多樣化的知識學習等</w:t>
            </w:r>
            <w:r w:rsidRPr="0047732F">
              <w:rPr>
                <w:rFonts w:ascii="標楷體" w:eastAsia="標楷體" w:hAnsi="標楷體" w:cs="Arial" w:hint="eastAsia"/>
                <w:szCs w:val="24"/>
              </w:rPr>
              <w:t>特色</w:t>
            </w:r>
          </w:p>
          <w:p w:rsidR="00185323" w:rsidRPr="0047732F" w:rsidRDefault="00185323" w:rsidP="00185323">
            <w:pPr>
              <w:pStyle w:val="a5"/>
              <w:numPr>
                <w:ilvl w:val="0"/>
                <w:numId w:val="2"/>
              </w:numPr>
              <w:ind w:leftChars="0"/>
              <w:rPr>
                <w:rFonts w:ascii="標楷體" w:eastAsia="標楷體" w:hAnsi="標楷體"/>
                <w:szCs w:val="24"/>
              </w:rPr>
            </w:pPr>
            <w:r w:rsidRPr="0047732F">
              <w:rPr>
                <w:rFonts w:ascii="標楷體" w:eastAsia="標楷體" w:hAnsi="標楷體" w:hint="eastAsia"/>
                <w:szCs w:val="24"/>
              </w:rPr>
              <w:t>下載專區:提供線上課程所需軟體</w:t>
            </w:r>
          </w:p>
        </w:tc>
        <w:tc>
          <w:tcPr>
            <w:tcW w:w="4966" w:type="dxa"/>
          </w:tcPr>
          <w:p w:rsidR="00B029C6" w:rsidRPr="0047732F" w:rsidRDefault="001B5AAF">
            <w:pPr>
              <w:rPr>
                <w:rFonts w:ascii="標楷體" w:eastAsia="標楷體" w:hAnsi="標楷體"/>
                <w:szCs w:val="24"/>
              </w:rPr>
            </w:pPr>
            <w:r w:rsidRPr="0047732F">
              <w:rPr>
                <w:rFonts w:ascii="標楷體" w:eastAsia="標楷體" w:hAnsi="標楷體" w:cs="Arial"/>
                <w:szCs w:val="24"/>
              </w:rPr>
              <w:t>為全國公部門首創平台整合，統整原有課程資源，合併終身學習時數認證功能，完成建置本府數位學習網站單一簽入機制，將雙方數位學習課程互補長短</w:t>
            </w:r>
          </w:p>
        </w:tc>
      </w:tr>
      <w:tr w:rsidR="00B029C6" w:rsidRPr="00EB44BF" w:rsidTr="0047732F">
        <w:tc>
          <w:tcPr>
            <w:tcW w:w="1057" w:type="dxa"/>
          </w:tcPr>
          <w:p w:rsidR="00B029C6" w:rsidRPr="0047732F" w:rsidRDefault="00B029C6">
            <w:pPr>
              <w:rPr>
                <w:rFonts w:ascii="標楷體" w:eastAsia="標楷體" w:hAnsi="標楷體"/>
                <w:szCs w:val="24"/>
              </w:rPr>
            </w:pPr>
            <w:r w:rsidRPr="0047732F">
              <w:rPr>
                <w:rFonts w:ascii="標楷體" w:eastAsia="標楷體" w:hAnsi="標楷體" w:hint="eastAsia"/>
                <w:szCs w:val="24"/>
              </w:rPr>
              <w:t>改進</w:t>
            </w:r>
          </w:p>
        </w:tc>
        <w:tc>
          <w:tcPr>
            <w:tcW w:w="4965" w:type="dxa"/>
          </w:tcPr>
          <w:p w:rsidR="00185323" w:rsidRPr="0047732F" w:rsidRDefault="00185323" w:rsidP="00FD3409">
            <w:pPr>
              <w:pStyle w:val="a5"/>
              <w:numPr>
                <w:ilvl w:val="0"/>
                <w:numId w:val="3"/>
              </w:numPr>
              <w:ind w:leftChars="0"/>
              <w:rPr>
                <w:rFonts w:ascii="標楷體" w:eastAsia="標楷體" w:hAnsi="標楷體"/>
                <w:szCs w:val="24"/>
              </w:rPr>
            </w:pPr>
            <w:r w:rsidRPr="0047732F">
              <w:rPr>
                <w:rFonts w:ascii="標楷體" w:eastAsia="標楷體" w:hAnsi="標楷體"/>
                <w:szCs w:val="24"/>
              </w:rPr>
              <w:t>北e大的主要服務對象為臺北市政府公務人員，不論是臺北市政府公務人員或是其他縣市、中央機關公務人員可以在完成課程後的次月為您登錄公務人員終身學習時數，不需特別申請。一般民眾也可免費加</w:t>
            </w:r>
            <w:r w:rsidRPr="0047732F">
              <w:rPr>
                <w:rFonts w:ascii="標楷體" w:eastAsia="標楷體" w:hAnsi="標楷體"/>
                <w:szCs w:val="24"/>
              </w:rPr>
              <w:lastRenderedPageBreak/>
              <w:t>入和上課，但由於臺北e大不屬於國家認可的正式大學體制，因此無法發給學員學位文憑或研習時數（教師研習時數）。</w:t>
            </w:r>
          </w:p>
        </w:tc>
        <w:tc>
          <w:tcPr>
            <w:tcW w:w="4966" w:type="dxa"/>
          </w:tcPr>
          <w:p w:rsidR="00B029C6" w:rsidRPr="0047732F" w:rsidRDefault="00FD3409">
            <w:pPr>
              <w:rPr>
                <w:rFonts w:ascii="標楷體" w:eastAsia="標楷體" w:hAnsi="標楷體"/>
                <w:szCs w:val="24"/>
              </w:rPr>
            </w:pPr>
            <w:r w:rsidRPr="0047732F">
              <w:rPr>
                <w:rFonts w:ascii="標楷體" w:eastAsia="標楷體" w:hAnsi="標楷體" w:hint="eastAsia"/>
                <w:szCs w:val="24"/>
              </w:rPr>
              <w:lastRenderedPageBreak/>
              <w:t>內容可</w:t>
            </w:r>
            <w:r w:rsidR="00234254" w:rsidRPr="0047732F">
              <w:rPr>
                <w:rFonts w:ascii="標楷體" w:eastAsia="標楷體" w:hAnsi="標楷體" w:hint="eastAsia"/>
                <w:szCs w:val="24"/>
              </w:rPr>
              <w:t>以再</w:t>
            </w:r>
            <w:r w:rsidRPr="0047732F">
              <w:rPr>
                <w:rFonts w:ascii="標楷體" w:eastAsia="標楷體" w:hAnsi="標楷體" w:hint="eastAsia"/>
                <w:szCs w:val="24"/>
              </w:rPr>
              <w:t>多元化</w:t>
            </w:r>
            <w:r w:rsidR="00234254" w:rsidRPr="0047732F">
              <w:rPr>
                <w:rFonts w:ascii="標楷體" w:eastAsia="標楷體" w:hAnsi="標楷體" w:hint="eastAsia"/>
                <w:szCs w:val="24"/>
              </w:rPr>
              <w:t>發展</w:t>
            </w:r>
          </w:p>
        </w:tc>
      </w:tr>
    </w:tbl>
    <w:p w:rsidR="00840433" w:rsidRPr="00523854" w:rsidRDefault="00840433">
      <w:pPr>
        <w:rPr>
          <w:rFonts w:ascii="標楷體" w:eastAsia="標楷體" w:hAnsi="標楷體"/>
          <w:sz w:val="28"/>
          <w:szCs w:val="28"/>
        </w:rPr>
      </w:pPr>
    </w:p>
    <w:sectPr w:rsidR="00840433" w:rsidRPr="00523854" w:rsidSect="00EB44BF">
      <w:pgSz w:w="11906" w:h="16838"/>
      <w:pgMar w:top="567" w:right="567" w:bottom="567" w:left="56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5C4" w:rsidRDefault="003255C4" w:rsidP="00523854">
      <w:r>
        <w:separator/>
      </w:r>
    </w:p>
  </w:endnote>
  <w:endnote w:type="continuationSeparator" w:id="0">
    <w:p w:rsidR="003255C4" w:rsidRDefault="003255C4" w:rsidP="005238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5C4" w:rsidRDefault="003255C4" w:rsidP="00523854">
      <w:r>
        <w:separator/>
      </w:r>
    </w:p>
  </w:footnote>
  <w:footnote w:type="continuationSeparator" w:id="0">
    <w:p w:rsidR="003255C4" w:rsidRDefault="003255C4" w:rsidP="005238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66E10"/>
    <w:multiLevelType w:val="hybridMultilevel"/>
    <w:tmpl w:val="C3FC408E"/>
    <w:lvl w:ilvl="0" w:tplc="9DE4BB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23A2503"/>
    <w:multiLevelType w:val="hybridMultilevel"/>
    <w:tmpl w:val="5DFE57EC"/>
    <w:lvl w:ilvl="0" w:tplc="1012E6F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7C114FD"/>
    <w:multiLevelType w:val="hybridMultilevel"/>
    <w:tmpl w:val="6FEC2D3C"/>
    <w:lvl w:ilvl="0" w:tplc="551C84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29C6"/>
    <w:rsid w:val="00102DF7"/>
    <w:rsid w:val="00185323"/>
    <w:rsid w:val="0018775E"/>
    <w:rsid w:val="001B5AAF"/>
    <w:rsid w:val="00234254"/>
    <w:rsid w:val="002E1AC2"/>
    <w:rsid w:val="003255C4"/>
    <w:rsid w:val="00355B78"/>
    <w:rsid w:val="0047732F"/>
    <w:rsid w:val="00523854"/>
    <w:rsid w:val="005D1248"/>
    <w:rsid w:val="006B4C17"/>
    <w:rsid w:val="00840433"/>
    <w:rsid w:val="0097064B"/>
    <w:rsid w:val="00B029C6"/>
    <w:rsid w:val="00B52C24"/>
    <w:rsid w:val="00B546EC"/>
    <w:rsid w:val="00B65CC0"/>
    <w:rsid w:val="00D339BC"/>
    <w:rsid w:val="00EB44BF"/>
    <w:rsid w:val="00FD340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433"/>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2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185323"/>
    <w:rPr>
      <w:rFonts w:ascii="新細明體" w:eastAsia="新細明體" w:hAnsi="新細明體" w:hint="eastAsia"/>
      <w:strike w:val="0"/>
      <w:dstrike w:val="0"/>
      <w:color w:val="0000FF"/>
      <w:sz w:val="32"/>
      <w:szCs w:val="32"/>
      <w:u w:val="none"/>
      <w:effect w:val="none"/>
    </w:rPr>
  </w:style>
  <w:style w:type="paragraph" w:styleId="a5">
    <w:name w:val="List Paragraph"/>
    <w:basedOn w:val="a"/>
    <w:uiPriority w:val="34"/>
    <w:qFormat/>
    <w:rsid w:val="00185323"/>
    <w:pPr>
      <w:ind w:leftChars="200" w:left="480"/>
    </w:pPr>
  </w:style>
  <w:style w:type="paragraph" w:styleId="Web">
    <w:name w:val="Normal (Web)"/>
    <w:basedOn w:val="a"/>
    <w:uiPriority w:val="99"/>
    <w:semiHidden/>
    <w:unhideWhenUsed/>
    <w:rsid w:val="00185323"/>
    <w:pPr>
      <w:widowControl/>
      <w:spacing w:before="100" w:beforeAutospacing="1" w:after="100" w:afterAutospacing="1"/>
    </w:pPr>
    <w:rPr>
      <w:rFonts w:ascii="新細明體" w:eastAsia="新細明體" w:hAnsi="新細明體" w:cs="新細明體"/>
      <w:kern w:val="0"/>
      <w:szCs w:val="24"/>
    </w:rPr>
  </w:style>
  <w:style w:type="character" w:styleId="a6">
    <w:name w:val="Strong"/>
    <w:basedOn w:val="a0"/>
    <w:uiPriority w:val="22"/>
    <w:qFormat/>
    <w:rsid w:val="00185323"/>
    <w:rPr>
      <w:b/>
      <w:bCs/>
    </w:rPr>
  </w:style>
  <w:style w:type="paragraph" w:styleId="a7">
    <w:name w:val="header"/>
    <w:basedOn w:val="a"/>
    <w:link w:val="a8"/>
    <w:uiPriority w:val="99"/>
    <w:semiHidden/>
    <w:unhideWhenUsed/>
    <w:rsid w:val="00523854"/>
    <w:pPr>
      <w:tabs>
        <w:tab w:val="center" w:pos="4153"/>
        <w:tab w:val="right" w:pos="8306"/>
      </w:tabs>
      <w:snapToGrid w:val="0"/>
    </w:pPr>
    <w:rPr>
      <w:sz w:val="20"/>
      <w:szCs w:val="20"/>
    </w:rPr>
  </w:style>
  <w:style w:type="character" w:customStyle="1" w:styleId="a8">
    <w:name w:val="頁首 字元"/>
    <w:basedOn w:val="a0"/>
    <w:link w:val="a7"/>
    <w:uiPriority w:val="99"/>
    <w:semiHidden/>
    <w:rsid w:val="00523854"/>
    <w:rPr>
      <w:sz w:val="20"/>
      <w:szCs w:val="20"/>
    </w:rPr>
  </w:style>
  <w:style w:type="paragraph" w:styleId="a9">
    <w:name w:val="footer"/>
    <w:basedOn w:val="a"/>
    <w:link w:val="aa"/>
    <w:uiPriority w:val="99"/>
    <w:semiHidden/>
    <w:unhideWhenUsed/>
    <w:rsid w:val="00523854"/>
    <w:pPr>
      <w:tabs>
        <w:tab w:val="center" w:pos="4153"/>
        <w:tab w:val="right" w:pos="8306"/>
      </w:tabs>
      <w:snapToGrid w:val="0"/>
    </w:pPr>
    <w:rPr>
      <w:sz w:val="20"/>
      <w:szCs w:val="20"/>
    </w:rPr>
  </w:style>
  <w:style w:type="character" w:customStyle="1" w:styleId="aa">
    <w:name w:val="頁尾 字元"/>
    <w:basedOn w:val="a0"/>
    <w:link w:val="a9"/>
    <w:uiPriority w:val="99"/>
    <w:semiHidden/>
    <w:rsid w:val="00523854"/>
    <w:rPr>
      <w:sz w:val="20"/>
      <w:szCs w:val="20"/>
    </w:rPr>
  </w:style>
  <w:style w:type="character" w:customStyle="1" w:styleId="style11">
    <w:name w:val="style11"/>
    <w:basedOn w:val="a0"/>
    <w:rsid w:val="001B5AAF"/>
    <w:rPr>
      <w:b w:val="0"/>
      <w:bCs w:val="0"/>
    </w:rPr>
  </w:style>
  <w:style w:type="paragraph" w:customStyle="1" w:styleId="style4">
    <w:name w:val="style4"/>
    <w:basedOn w:val="a"/>
    <w:rsid w:val="00B65CC0"/>
    <w:pPr>
      <w:widowControl/>
      <w:spacing w:before="100" w:beforeAutospacing="1" w:after="100" w:afterAutospacing="1"/>
    </w:pPr>
    <w:rPr>
      <w:rFonts w:ascii="新細明體" w:eastAsia="新細明體" w:hAnsi="新細明體" w:cs="新細明體"/>
      <w:kern w:val="0"/>
      <w:sz w:val="26"/>
      <w:szCs w:val="26"/>
    </w:rPr>
  </w:style>
</w:styles>
</file>

<file path=word/webSettings.xml><?xml version="1.0" encoding="utf-8"?>
<w:webSettings xmlns:r="http://schemas.openxmlformats.org/officeDocument/2006/relationships" xmlns:w="http://schemas.openxmlformats.org/wordprocessingml/2006/main">
  <w:divs>
    <w:div w:id="82649588">
      <w:bodyDiv w:val="1"/>
      <w:marLeft w:val="0"/>
      <w:marRight w:val="0"/>
      <w:marTop w:val="0"/>
      <w:marBottom w:val="0"/>
      <w:divBdr>
        <w:top w:val="none" w:sz="0" w:space="0" w:color="auto"/>
        <w:left w:val="none" w:sz="0" w:space="0" w:color="auto"/>
        <w:bottom w:val="none" w:sz="0" w:space="0" w:color="auto"/>
        <w:right w:val="none" w:sz="0" w:space="0" w:color="auto"/>
      </w:divBdr>
      <w:divsChild>
        <w:div w:id="1626082949">
          <w:marLeft w:val="0"/>
          <w:marRight w:val="0"/>
          <w:marTop w:val="0"/>
          <w:marBottom w:val="0"/>
          <w:divBdr>
            <w:top w:val="none" w:sz="0" w:space="0" w:color="auto"/>
            <w:left w:val="none" w:sz="0" w:space="0" w:color="auto"/>
            <w:bottom w:val="none" w:sz="0" w:space="0" w:color="auto"/>
            <w:right w:val="none" w:sz="0" w:space="0" w:color="auto"/>
          </w:divBdr>
          <w:divsChild>
            <w:div w:id="67430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92510">
      <w:bodyDiv w:val="1"/>
      <w:marLeft w:val="296"/>
      <w:marRight w:val="296"/>
      <w:marTop w:val="395"/>
      <w:marBottom w:val="39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earning.taipei.gov.tw/epaper/epaper_history.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166</Words>
  <Characters>952</Characters>
  <Application>Microsoft Office Word</Application>
  <DocSecurity>0</DocSecurity>
  <Lines>7</Lines>
  <Paragraphs>2</Paragraphs>
  <ScaleCrop>false</ScaleCrop>
  <Company/>
  <LinksUpToDate>false</LinksUpToDate>
  <CharactersWithSpaces>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2011-01-07T07:09:00Z</dcterms:created>
  <dcterms:modified xsi:type="dcterms:W3CDTF">2011-01-08T02:12:00Z</dcterms:modified>
</cp:coreProperties>
</file>